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F3A6" w14:textId="77777777" w:rsidR="00B23C42" w:rsidRDefault="00404CD5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 INGLÉS INSTITUCIONAL</w:t>
      </w: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661"/>
        <w:gridCol w:w="822"/>
        <w:gridCol w:w="839"/>
        <w:gridCol w:w="1524"/>
        <w:gridCol w:w="673"/>
        <w:gridCol w:w="1124"/>
        <w:gridCol w:w="1241"/>
      </w:tblGrid>
      <w:tr w:rsidR="00B23C42" w14:paraId="66CAF3A9" w14:textId="77777777">
        <w:trPr>
          <w:trHeight w:val="320"/>
        </w:trPr>
        <w:tc>
          <w:tcPr>
            <w:tcW w:w="1674" w:type="dxa"/>
            <w:shd w:val="clear" w:color="auto" w:fill="D9D9D9"/>
            <w:vAlign w:val="center"/>
          </w:tcPr>
          <w:p w14:paraId="66CAF3A7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Código</w:t>
            </w:r>
          </w:p>
        </w:tc>
        <w:tc>
          <w:tcPr>
            <w:tcW w:w="7884" w:type="dxa"/>
            <w:gridSpan w:val="7"/>
            <w:shd w:val="clear" w:color="auto" w:fill="D9D9D9"/>
            <w:vAlign w:val="center"/>
          </w:tcPr>
          <w:p w14:paraId="66CAF3A8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Nombre</w:t>
            </w:r>
          </w:p>
        </w:tc>
      </w:tr>
      <w:tr w:rsidR="00B23C42" w14:paraId="66CAF3AC" w14:textId="77777777">
        <w:trPr>
          <w:trHeight w:val="320"/>
        </w:trPr>
        <w:tc>
          <w:tcPr>
            <w:tcW w:w="1674" w:type="dxa"/>
          </w:tcPr>
          <w:p w14:paraId="66CAF3AA" w14:textId="42F3FBB9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ENG1003</w:t>
            </w:r>
            <w:r w:rsidR="00D70189">
              <w:t>-</w:t>
            </w:r>
            <w:r w:rsidR="008561EB">
              <w:t>4</w:t>
            </w:r>
          </w:p>
        </w:tc>
        <w:tc>
          <w:tcPr>
            <w:tcW w:w="7884" w:type="dxa"/>
            <w:gridSpan w:val="7"/>
            <w:vAlign w:val="center"/>
          </w:tcPr>
          <w:p w14:paraId="66CAF3AB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Inglés III</w:t>
            </w:r>
          </w:p>
        </w:tc>
      </w:tr>
      <w:tr w:rsidR="00B23C42" w14:paraId="66CAF3AF" w14:textId="77777777">
        <w:trPr>
          <w:trHeight w:val="320"/>
        </w:trPr>
        <w:tc>
          <w:tcPr>
            <w:tcW w:w="4157" w:type="dxa"/>
            <w:gridSpan w:val="3"/>
            <w:shd w:val="clear" w:color="auto" w:fill="D9D9D9"/>
            <w:vAlign w:val="center"/>
          </w:tcPr>
          <w:p w14:paraId="66CAF3AD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Línea de formación</w:t>
            </w:r>
          </w:p>
        </w:tc>
        <w:tc>
          <w:tcPr>
            <w:tcW w:w="5401" w:type="dxa"/>
            <w:gridSpan w:val="5"/>
            <w:shd w:val="clear" w:color="auto" w:fill="D9D9D9"/>
            <w:vAlign w:val="center"/>
          </w:tcPr>
          <w:p w14:paraId="66CAF3AE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Nivel</w:t>
            </w:r>
          </w:p>
        </w:tc>
      </w:tr>
      <w:tr w:rsidR="00B23C42" w14:paraId="66CAF3B2" w14:textId="77777777">
        <w:trPr>
          <w:trHeight w:val="320"/>
        </w:trPr>
        <w:tc>
          <w:tcPr>
            <w:tcW w:w="4157" w:type="dxa"/>
            <w:gridSpan w:val="3"/>
            <w:tcBorders>
              <w:bottom w:val="single" w:sz="4" w:space="0" w:color="000000"/>
            </w:tcBorders>
            <w:vAlign w:val="center"/>
          </w:tcPr>
          <w:p w14:paraId="66CAF3B0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Enseñanza y aprendizaje del inglés como lengua extranjera.</w:t>
            </w:r>
          </w:p>
        </w:tc>
        <w:tc>
          <w:tcPr>
            <w:tcW w:w="5401" w:type="dxa"/>
            <w:gridSpan w:val="5"/>
            <w:tcBorders>
              <w:bottom w:val="single" w:sz="4" w:space="0" w:color="000000"/>
            </w:tcBorders>
            <w:vAlign w:val="center"/>
          </w:tcPr>
          <w:p w14:paraId="66CAF3B1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III</w:t>
            </w:r>
          </w:p>
        </w:tc>
      </w:tr>
      <w:tr w:rsidR="00B23C42" w14:paraId="66CAF3B6" w14:textId="77777777">
        <w:trPr>
          <w:trHeight w:val="320"/>
        </w:trPr>
        <w:tc>
          <w:tcPr>
            <w:tcW w:w="4157" w:type="dxa"/>
            <w:gridSpan w:val="3"/>
            <w:shd w:val="clear" w:color="auto" w:fill="D9D9D9"/>
            <w:vAlign w:val="center"/>
          </w:tcPr>
          <w:p w14:paraId="66CAF3B3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Requisitos</w:t>
            </w:r>
          </w:p>
        </w:tc>
        <w:tc>
          <w:tcPr>
            <w:tcW w:w="3036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6CAF3B4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Carácter del Curso</w:t>
            </w:r>
          </w:p>
        </w:tc>
        <w:tc>
          <w:tcPr>
            <w:tcW w:w="2365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6CAF3B5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Asistencia</w:t>
            </w:r>
          </w:p>
        </w:tc>
      </w:tr>
      <w:tr w:rsidR="00B23C42" w14:paraId="66CAF3BA" w14:textId="77777777">
        <w:trPr>
          <w:trHeight w:val="320"/>
        </w:trPr>
        <w:tc>
          <w:tcPr>
            <w:tcW w:w="4157" w:type="dxa"/>
            <w:gridSpan w:val="3"/>
            <w:tcBorders>
              <w:bottom w:val="single" w:sz="4" w:space="0" w:color="000000"/>
            </w:tcBorders>
            <w:vAlign w:val="center"/>
          </w:tcPr>
          <w:p w14:paraId="66CAF3B7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 xml:space="preserve">Prueba de diagnóstico </w:t>
            </w:r>
          </w:p>
        </w:tc>
        <w:tc>
          <w:tcPr>
            <w:tcW w:w="303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CAF3B8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Obligatorio</w:t>
            </w:r>
          </w:p>
        </w:tc>
        <w:tc>
          <w:tcPr>
            <w:tcW w:w="2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AF3B9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80%</w:t>
            </w:r>
          </w:p>
        </w:tc>
      </w:tr>
      <w:tr w:rsidR="00B23C42" w14:paraId="66CAF3C2" w14:textId="77777777">
        <w:trPr>
          <w:trHeight w:val="500"/>
        </w:trPr>
        <w:tc>
          <w:tcPr>
            <w:tcW w:w="1674" w:type="dxa"/>
            <w:shd w:val="clear" w:color="auto" w:fill="D9D9D9"/>
            <w:vAlign w:val="center"/>
          </w:tcPr>
          <w:p w14:paraId="66CAF3BB" w14:textId="77777777" w:rsidR="00B23C42" w:rsidRDefault="00404CD5">
            <w:pPr>
              <w:tabs>
                <w:tab w:val="left" w:pos="1210"/>
              </w:tabs>
              <w:spacing w:after="0" w:line="240" w:lineRule="auto"/>
              <w:ind w:left="0" w:hanging="2"/>
              <w:jc w:val="center"/>
            </w:pPr>
            <w:r>
              <w:t>SCT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66CAF3BC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Horas semestrales</w:t>
            </w:r>
          </w:p>
        </w:tc>
        <w:tc>
          <w:tcPr>
            <w:tcW w:w="1661" w:type="dxa"/>
            <w:gridSpan w:val="2"/>
            <w:shd w:val="clear" w:color="auto" w:fill="D9D9D9"/>
            <w:vAlign w:val="center"/>
          </w:tcPr>
          <w:p w14:paraId="66CAF3BD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Horas de Cátedra</w:t>
            </w:r>
          </w:p>
          <w:p w14:paraId="66CAF3BE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semanales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66CAF3BF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Horas de ayudantías</w:t>
            </w:r>
          </w:p>
        </w:tc>
        <w:tc>
          <w:tcPr>
            <w:tcW w:w="1797" w:type="dxa"/>
            <w:gridSpan w:val="2"/>
            <w:shd w:val="clear" w:color="auto" w:fill="D9D9D9"/>
            <w:vAlign w:val="center"/>
          </w:tcPr>
          <w:p w14:paraId="66CAF3C0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Horas de Trabajo Personal</w:t>
            </w:r>
          </w:p>
        </w:tc>
        <w:tc>
          <w:tcPr>
            <w:tcW w:w="1241" w:type="dxa"/>
            <w:shd w:val="clear" w:color="auto" w:fill="D9D9D9"/>
          </w:tcPr>
          <w:p w14:paraId="66CAF3C1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Horas evaluación</w:t>
            </w:r>
          </w:p>
        </w:tc>
      </w:tr>
      <w:tr w:rsidR="00B23C42" w14:paraId="66CAF3C9" w14:textId="77777777">
        <w:trPr>
          <w:trHeight w:val="320"/>
        </w:trPr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14:paraId="66CAF3C3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bookmarkStart w:id="0" w:name="_heading=h.gjdgxs" w:colFirst="0" w:colLast="0"/>
            <w:bookmarkEnd w:id="0"/>
            <w:r>
              <w:t>3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14:paraId="66CAF3C4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60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</w:tcBorders>
            <w:vAlign w:val="center"/>
          </w:tcPr>
          <w:p w14:paraId="66CAF3C5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4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14:paraId="66CAF3C6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0</w:t>
            </w:r>
          </w:p>
        </w:tc>
        <w:tc>
          <w:tcPr>
            <w:tcW w:w="1797" w:type="dxa"/>
            <w:gridSpan w:val="2"/>
            <w:tcBorders>
              <w:bottom w:val="single" w:sz="4" w:space="0" w:color="000000"/>
            </w:tcBorders>
            <w:vAlign w:val="center"/>
          </w:tcPr>
          <w:p w14:paraId="66CAF3C7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50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66CAF3C8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10</w:t>
            </w:r>
          </w:p>
        </w:tc>
      </w:tr>
    </w:tbl>
    <w:p w14:paraId="66CAF3CA" w14:textId="77777777" w:rsidR="00B23C42" w:rsidRDefault="00B23C42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B23C42" w14:paraId="66CAF3CC" w14:textId="77777777">
        <w:trPr>
          <w:trHeight w:val="340"/>
        </w:trPr>
        <w:tc>
          <w:tcPr>
            <w:tcW w:w="9676" w:type="dxa"/>
            <w:shd w:val="clear" w:color="auto" w:fill="D9D9D9"/>
            <w:vAlign w:val="center"/>
          </w:tcPr>
          <w:p w14:paraId="66CAF3CB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Objetivos/ Aprendizajes esperados</w:t>
            </w:r>
          </w:p>
        </w:tc>
      </w:tr>
      <w:tr w:rsidR="00B23C42" w14:paraId="66CAF3D0" w14:textId="77777777">
        <w:tc>
          <w:tcPr>
            <w:tcW w:w="9676" w:type="dxa"/>
          </w:tcPr>
          <w:p w14:paraId="66CAF3CD" w14:textId="77777777" w:rsidR="00B23C42" w:rsidRDefault="00B23C42">
            <w:pPr>
              <w:spacing w:after="0" w:line="240" w:lineRule="auto"/>
              <w:ind w:left="0" w:hanging="2"/>
              <w:jc w:val="both"/>
            </w:pPr>
          </w:p>
          <w:p w14:paraId="66CAF3CE" w14:textId="77777777" w:rsidR="00B23C42" w:rsidRDefault="00404CD5">
            <w:pPr>
              <w:spacing w:after="0" w:line="240" w:lineRule="auto"/>
              <w:ind w:left="0" w:hanging="2"/>
              <w:jc w:val="both"/>
            </w:pPr>
            <w:r>
              <w:t>Este curso tiene como objetivo el desarrollo de habilidades comunicativas en el idioma inglés a nivel a A2/A2+.</w:t>
            </w:r>
          </w:p>
          <w:p w14:paraId="66CAF3CF" w14:textId="77777777" w:rsidR="00B23C42" w:rsidRDefault="00404CD5">
            <w:pPr>
              <w:spacing w:after="0" w:line="240" w:lineRule="auto"/>
              <w:ind w:left="0" w:hanging="2"/>
              <w:jc w:val="both"/>
            </w:pPr>
            <w:r>
              <w:t>El/la estudiante puede entender y usar oraciones relacionadas a eventos pasados y dar su opinión sobre ellos.</w:t>
            </w:r>
          </w:p>
        </w:tc>
      </w:tr>
    </w:tbl>
    <w:p w14:paraId="66CAF3D1" w14:textId="77777777" w:rsidR="00B23C42" w:rsidRDefault="00B23C42">
      <w:pPr>
        <w:spacing w:after="0"/>
        <w:ind w:left="0" w:hanging="2"/>
      </w:pPr>
    </w:p>
    <w:tbl>
      <w:tblPr>
        <w:tblStyle w:val="a1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B23C42" w14:paraId="66CAF3D3" w14:textId="77777777">
        <w:trPr>
          <w:trHeight w:val="160"/>
        </w:trPr>
        <w:tc>
          <w:tcPr>
            <w:tcW w:w="9649" w:type="dxa"/>
            <w:shd w:val="clear" w:color="auto" w:fill="D9D9D9"/>
            <w:vAlign w:val="center"/>
          </w:tcPr>
          <w:p w14:paraId="66CAF3D2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proofErr w:type="gramStart"/>
            <w:r>
              <w:t>Competencias  transversales</w:t>
            </w:r>
            <w:proofErr w:type="gramEnd"/>
            <w:r>
              <w:t xml:space="preserve"> o </w:t>
            </w:r>
            <w:proofErr w:type="spellStart"/>
            <w:r>
              <w:t>Macrocompetencias</w:t>
            </w:r>
            <w:proofErr w:type="spellEnd"/>
            <w:r>
              <w:t xml:space="preserve"> a las que contribuye el curso</w:t>
            </w:r>
          </w:p>
        </w:tc>
      </w:tr>
      <w:tr w:rsidR="00B23C42" w14:paraId="66CAF3D5" w14:textId="77777777">
        <w:trPr>
          <w:trHeight w:val="1040"/>
        </w:trPr>
        <w:tc>
          <w:tcPr>
            <w:tcW w:w="9649" w:type="dxa"/>
            <w:tcBorders>
              <w:bottom w:val="single" w:sz="4" w:space="0" w:color="000000"/>
            </w:tcBorders>
          </w:tcPr>
          <w:p w14:paraId="66CAF3D4" w14:textId="77777777" w:rsidR="00B23C42" w:rsidRDefault="00404CD5" w:rsidP="00327738">
            <w:pPr>
              <w:spacing w:after="0" w:line="240" w:lineRule="auto"/>
              <w:ind w:left="0" w:hanging="2"/>
            </w:pPr>
            <w:r>
              <w:t xml:space="preserve">Comunicarse de forma oral y escrita de manera competente en </w:t>
            </w:r>
            <w:proofErr w:type="spellStart"/>
            <w:r>
              <w:t>inglés</w:t>
            </w:r>
            <w:proofErr w:type="spellEnd"/>
            <w:r>
              <w:t xml:space="preserve"> (a nivel A2+).</w:t>
            </w:r>
            <w:r>
              <w:br/>
            </w:r>
            <w:proofErr w:type="spellStart"/>
            <w:r>
              <w:t>Adquisición</w:t>
            </w:r>
            <w:proofErr w:type="spellEnd"/>
            <w:r>
              <w:t xml:space="preserve"> de un segundo idioma.</w:t>
            </w:r>
            <w:r>
              <w:br/>
              <w:t xml:space="preserve">Desarrollo de habilidades comunicativas en una segunda lengua. </w:t>
            </w:r>
          </w:p>
        </w:tc>
      </w:tr>
    </w:tbl>
    <w:p w14:paraId="66CAF3D6" w14:textId="77777777" w:rsidR="00B23C42" w:rsidRDefault="00B23C42">
      <w:pPr>
        <w:spacing w:after="0"/>
        <w:ind w:left="0" w:hanging="2"/>
      </w:pPr>
    </w:p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23C42" w14:paraId="66CAF3D8" w14:textId="77777777">
        <w:trPr>
          <w:trHeight w:val="260"/>
        </w:trPr>
        <w:tc>
          <w:tcPr>
            <w:tcW w:w="9558" w:type="dxa"/>
            <w:shd w:val="clear" w:color="auto" w:fill="D9D9D9"/>
          </w:tcPr>
          <w:p w14:paraId="66CAF3D7" w14:textId="77777777" w:rsidR="00B23C42" w:rsidRDefault="00404CD5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Metodología Docente</w:t>
            </w:r>
          </w:p>
        </w:tc>
      </w:tr>
      <w:tr w:rsidR="00B23C42" w14:paraId="66CAF3E5" w14:textId="77777777">
        <w:trPr>
          <w:trHeight w:val="1200"/>
        </w:trPr>
        <w:tc>
          <w:tcPr>
            <w:tcW w:w="9558" w:type="dxa"/>
          </w:tcPr>
          <w:p w14:paraId="66CAF3D9" w14:textId="77777777" w:rsidR="00B23C42" w:rsidRDefault="00404CD5">
            <w:pPr>
              <w:spacing w:after="0" w:line="240" w:lineRule="auto"/>
              <w:ind w:left="0" w:hanging="2"/>
              <w:jc w:val="both"/>
            </w:pPr>
            <w:proofErr w:type="gramStart"/>
            <w:r>
              <w:t>La metodología a utilizar</w:t>
            </w:r>
            <w:proofErr w:type="gramEnd"/>
            <w:r>
              <w:t xml:space="preserve"> es ecléctica, comprendiendo diversas estrategias y recursos pedagógicos, tales como textos originales y material audiovisual diverso con el objetivo de acercar al estudiante al idioma meta. </w:t>
            </w:r>
          </w:p>
          <w:p w14:paraId="66CAF3DA" w14:textId="77777777" w:rsidR="00B23C42" w:rsidRDefault="00B23C42">
            <w:pPr>
              <w:spacing w:after="0" w:line="240" w:lineRule="auto"/>
              <w:ind w:left="0" w:hanging="2"/>
              <w:jc w:val="both"/>
            </w:pPr>
          </w:p>
          <w:p w14:paraId="66CAF3DB" w14:textId="77777777" w:rsidR="00B23C42" w:rsidRDefault="00404CD5">
            <w:pPr>
              <w:spacing w:after="0" w:line="240" w:lineRule="auto"/>
              <w:ind w:left="0" w:hanging="2"/>
              <w:jc w:val="both"/>
            </w:pPr>
            <w:r>
              <w:t>En este curso, el docente facilitará espacios de intervención, discusión e intercambio de ideas, utilizando una metodología activa participativa que propicie un aprendizaje significativo de los estudiantes a través de trabajo colaborativo (en grupo, parejas, la clase entera) e individual.</w:t>
            </w:r>
          </w:p>
          <w:p w14:paraId="66CAF3DC" w14:textId="77777777" w:rsidR="00B23C42" w:rsidRDefault="00B23C42">
            <w:pPr>
              <w:spacing w:after="0" w:line="240" w:lineRule="auto"/>
              <w:ind w:left="0" w:hanging="2"/>
              <w:jc w:val="both"/>
            </w:pPr>
          </w:p>
          <w:p w14:paraId="66CAF3DD" w14:textId="77777777" w:rsidR="00B23C42" w:rsidRDefault="00404CD5">
            <w:pPr>
              <w:spacing w:after="0" w:line="240" w:lineRule="auto"/>
              <w:ind w:left="0" w:hanging="2"/>
              <w:jc w:val="both"/>
            </w:pPr>
            <w:r>
              <w:t>El proceso de aprendizaje se desarrollará a través de las acciones metodológicas que se describen a continuación:</w:t>
            </w:r>
          </w:p>
          <w:p w14:paraId="66CAF3DE" w14:textId="77777777" w:rsidR="00B23C42" w:rsidRDefault="00404CD5">
            <w:pPr>
              <w:spacing w:after="0" w:line="240" w:lineRule="auto"/>
              <w:ind w:left="0" w:hanging="2"/>
              <w:jc w:val="both"/>
            </w:pPr>
            <w:r>
              <w:t xml:space="preserve"> </w:t>
            </w:r>
          </w:p>
          <w:p w14:paraId="66CAF3DF" w14:textId="1DB6D599" w:rsidR="00B23C42" w:rsidRDefault="00404CD5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Audición de textos orales representativos de diversos géneros, niveles de complejidad y acentos.</w:t>
            </w:r>
          </w:p>
          <w:p w14:paraId="66CAF3E0" w14:textId="77777777" w:rsidR="00B23C42" w:rsidRDefault="00404CD5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Análisis crítico y reflexivo de recursos audiovisuales y textos escritos.</w:t>
            </w:r>
          </w:p>
          <w:p w14:paraId="66CAF3E1" w14:textId="77777777" w:rsidR="00B23C42" w:rsidRDefault="00404CD5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Proyectos orales individuales y grupales acerca de los temas centrales tratados en el curso.</w:t>
            </w:r>
          </w:p>
          <w:p w14:paraId="66CAF3E2" w14:textId="3E7B5D4B" w:rsidR="00B23C42" w:rsidRDefault="00404CD5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Actividades orales que promuevan el intercambio de ideas (debates, juegos de roles, etc.).</w:t>
            </w:r>
          </w:p>
          <w:p w14:paraId="66CAF3E3" w14:textId="77777777" w:rsidR="00B23C42" w:rsidRDefault="00404CD5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</w:pPr>
            <w:r>
              <w:t>Análisis y aplicación de estrategias metacognitivas en las actividades desarrolladas en clases.</w:t>
            </w:r>
          </w:p>
          <w:p w14:paraId="66CAF3E4" w14:textId="77777777" w:rsidR="00B23C42" w:rsidRDefault="00B23C42">
            <w:pPr>
              <w:spacing w:after="0" w:line="240" w:lineRule="auto"/>
              <w:ind w:left="0" w:hanging="2"/>
              <w:jc w:val="both"/>
            </w:pPr>
          </w:p>
        </w:tc>
      </w:tr>
    </w:tbl>
    <w:p w14:paraId="66CAF3E6" w14:textId="77777777" w:rsidR="00B23C42" w:rsidRDefault="00404CD5">
      <w:pPr>
        <w:ind w:left="0" w:hanging="2"/>
        <w:jc w:val="center"/>
        <w:rPr>
          <w:b/>
        </w:rPr>
      </w:pPr>
      <w:r>
        <w:rPr>
          <w:b/>
        </w:rPr>
        <w:t>Evaluaciones</w:t>
      </w:r>
    </w:p>
    <w:tbl>
      <w:tblPr>
        <w:tblStyle w:val="a3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485"/>
        <w:gridCol w:w="2102"/>
        <w:gridCol w:w="4584"/>
      </w:tblGrid>
      <w:tr w:rsidR="00B23C42" w14:paraId="66CAF3ED" w14:textId="77777777">
        <w:trPr>
          <w:trHeight w:val="340"/>
        </w:trPr>
        <w:tc>
          <w:tcPr>
            <w:tcW w:w="1305" w:type="dxa"/>
            <w:shd w:val="clear" w:color="auto" w:fill="D9D9D9"/>
            <w:vAlign w:val="center"/>
          </w:tcPr>
          <w:p w14:paraId="66CAF3E7" w14:textId="77777777" w:rsidR="00B23C42" w:rsidRDefault="00404CD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Evaluación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66CAF3E8" w14:textId="77777777" w:rsidR="00B23C42" w:rsidRDefault="00404CD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102" w:type="dxa"/>
            <w:shd w:val="clear" w:color="auto" w:fill="D9D9D9"/>
          </w:tcPr>
          <w:p w14:paraId="66CAF3E9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Actividad de evaluación</w:t>
            </w:r>
          </w:p>
          <w:p w14:paraId="66CAF3EA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(describir)</w:t>
            </w:r>
          </w:p>
        </w:tc>
        <w:tc>
          <w:tcPr>
            <w:tcW w:w="4584" w:type="dxa"/>
            <w:shd w:val="clear" w:color="auto" w:fill="D9D9D9"/>
          </w:tcPr>
          <w:p w14:paraId="66CAF3EB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Criterios de evaluación </w:t>
            </w:r>
          </w:p>
          <w:p w14:paraId="66CAF3EC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(indicadores de logro para la </w:t>
            </w:r>
            <w:proofErr w:type="spellStart"/>
            <w:r>
              <w:rPr>
                <w:b/>
              </w:rPr>
              <w:t>subcompetencia</w:t>
            </w:r>
            <w:proofErr w:type="spellEnd"/>
            <w:r>
              <w:rPr>
                <w:b/>
              </w:rPr>
              <w:t>)</w:t>
            </w:r>
          </w:p>
        </w:tc>
      </w:tr>
      <w:tr w:rsidR="00B23C42" w14:paraId="66CAF3F5" w14:textId="77777777" w:rsidTr="00D76F40">
        <w:trPr>
          <w:trHeight w:val="340"/>
        </w:trPr>
        <w:tc>
          <w:tcPr>
            <w:tcW w:w="1305" w:type="dxa"/>
            <w:vAlign w:val="center"/>
          </w:tcPr>
          <w:p w14:paraId="66CAF3EE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 Nº1</w:t>
            </w:r>
          </w:p>
          <w:p w14:paraId="66CAF3EF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485" w:type="dxa"/>
            <w:vAlign w:val="center"/>
          </w:tcPr>
          <w:p w14:paraId="66CAF3F0" w14:textId="77777777" w:rsidR="00B23C42" w:rsidRDefault="00404CD5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Unidades 1 y 2</w:t>
            </w:r>
          </w:p>
          <w:p w14:paraId="66CAF3F1" w14:textId="77777777" w:rsidR="00B23C42" w:rsidRDefault="00B23C42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6CAF3F2" w14:textId="77777777" w:rsidR="00B23C42" w:rsidRDefault="00B23C42">
            <w:pPr>
              <w:spacing w:after="0"/>
              <w:ind w:left="0" w:hanging="2"/>
              <w:jc w:val="center"/>
            </w:pPr>
          </w:p>
          <w:p w14:paraId="66CAF3F3" w14:textId="77777777" w:rsidR="00B23C42" w:rsidRDefault="00404CD5">
            <w:pPr>
              <w:spacing w:after="0"/>
              <w:ind w:left="0" w:hanging="2"/>
              <w:jc w:val="center"/>
            </w:pPr>
            <w:r>
              <w:t>Prueba escrita o evaluación oral</w:t>
            </w:r>
          </w:p>
        </w:tc>
        <w:tc>
          <w:tcPr>
            <w:tcW w:w="4584" w:type="dxa"/>
            <w:vAlign w:val="center"/>
          </w:tcPr>
          <w:p w14:paraId="66CAF3F4" w14:textId="77777777" w:rsidR="00B23C42" w:rsidRDefault="00404CD5" w:rsidP="00D76F40">
            <w:pPr>
              <w:spacing w:after="0" w:line="240" w:lineRule="auto"/>
              <w:ind w:left="0" w:hanging="2"/>
              <w:jc w:val="center"/>
            </w:pPr>
            <w:r>
              <w:t>Describir y explicar celebraciones en su país y el resto del mundo. Narrar y relacionar eventos pasados personales y de otras personas. Describir y explicar su película o libro favorito, expresando opiniones.</w:t>
            </w:r>
          </w:p>
        </w:tc>
      </w:tr>
      <w:tr w:rsidR="00B23C42" w14:paraId="66CAF3FC" w14:textId="77777777" w:rsidTr="00D76F40">
        <w:trPr>
          <w:trHeight w:val="1020"/>
        </w:trPr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14:paraId="66CAF3F6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 Nº2</w:t>
            </w:r>
          </w:p>
          <w:p w14:paraId="66CAF3F7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vAlign w:val="center"/>
          </w:tcPr>
          <w:p w14:paraId="66CAF3F8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Unidades 3 y 4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66CAF3F9" w14:textId="77777777" w:rsidR="00B23C42" w:rsidRDefault="00B23C42">
            <w:pPr>
              <w:spacing w:after="0"/>
              <w:ind w:left="0" w:hanging="2"/>
              <w:jc w:val="center"/>
            </w:pPr>
          </w:p>
          <w:p w14:paraId="66CAF3FA" w14:textId="77777777" w:rsidR="00B23C42" w:rsidRDefault="00404CD5">
            <w:pPr>
              <w:spacing w:after="0"/>
              <w:ind w:left="0" w:hanging="2"/>
              <w:jc w:val="center"/>
            </w:pPr>
            <w:r>
              <w:t>Prueba escrita o evaluación oral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  <w:vAlign w:val="center"/>
          </w:tcPr>
          <w:p w14:paraId="66CAF3FB" w14:textId="77777777" w:rsidR="00B23C42" w:rsidRDefault="00404CD5" w:rsidP="00D76F40">
            <w:pPr>
              <w:spacing w:after="0" w:line="240" w:lineRule="auto"/>
              <w:ind w:left="0" w:hanging="2"/>
              <w:jc w:val="center"/>
            </w:pPr>
            <w:r>
              <w:t>Opinar acerca de diferentes expresiones artísticas y hablar acerca de artistas famosos. Expresar opiniones acerca de problemas medioambientales y hablar acerca de lo que debemos hacer para ayudar al planeta.</w:t>
            </w:r>
          </w:p>
        </w:tc>
      </w:tr>
      <w:tr w:rsidR="00B23C42" w14:paraId="66CAF403" w14:textId="77777777" w:rsidTr="00D76F40">
        <w:trPr>
          <w:trHeight w:val="1040"/>
        </w:trPr>
        <w:tc>
          <w:tcPr>
            <w:tcW w:w="1305" w:type="dxa"/>
            <w:vAlign w:val="center"/>
          </w:tcPr>
          <w:p w14:paraId="66CAF3FD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 Nº3</w:t>
            </w:r>
          </w:p>
          <w:p w14:paraId="66CAF3FE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485" w:type="dxa"/>
            <w:vAlign w:val="center"/>
          </w:tcPr>
          <w:p w14:paraId="66CAF3FF" w14:textId="39703CF6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5</w:t>
            </w:r>
          </w:p>
        </w:tc>
        <w:tc>
          <w:tcPr>
            <w:tcW w:w="2102" w:type="dxa"/>
            <w:vAlign w:val="center"/>
          </w:tcPr>
          <w:p w14:paraId="66CAF401" w14:textId="77777777" w:rsidR="00B23C42" w:rsidRDefault="00404CD5" w:rsidP="00D76F40">
            <w:pPr>
              <w:spacing w:after="0"/>
              <w:ind w:left="0" w:hanging="2"/>
              <w:jc w:val="center"/>
            </w:pPr>
            <w:r>
              <w:t>Prueba escrita o evaluación oral</w:t>
            </w:r>
          </w:p>
        </w:tc>
        <w:tc>
          <w:tcPr>
            <w:tcW w:w="4584" w:type="dxa"/>
            <w:vAlign w:val="center"/>
          </w:tcPr>
          <w:p w14:paraId="66CAF402" w14:textId="190D79E7" w:rsidR="00B23C42" w:rsidRDefault="00404CD5" w:rsidP="00D76F40">
            <w:pPr>
              <w:spacing w:after="0" w:line="240" w:lineRule="auto"/>
              <w:ind w:left="0" w:hanging="2"/>
              <w:jc w:val="center"/>
            </w:pPr>
            <w:r>
              <w:t>Debatir acerca de temas relacionados con su área de especialidad. Organizar, caracterizar y describir eventos en una línea de tiempo.</w:t>
            </w:r>
            <w:r w:rsidR="00D76F40">
              <w:t xml:space="preserve"> Conectar eventos pasados con el presente.</w:t>
            </w:r>
          </w:p>
        </w:tc>
      </w:tr>
      <w:tr w:rsidR="00B23C42" w14:paraId="66CAF40A" w14:textId="77777777" w:rsidTr="00D76F40">
        <w:trPr>
          <w:trHeight w:val="320"/>
        </w:trPr>
        <w:tc>
          <w:tcPr>
            <w:tcW w:w="1305" w:type="dxa"/>
            <w:vAlign w:val="center"/>
          </w:tcPr>
          <w:p w14:paraId="66CAF404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Acumulativas</w:t>
            </w:r>
          </w:p>
          <w:p w14:paraId="66CAF405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485" w:type="dxa"/>
            <w:vAlign w:val="center"/>
          </w:tcPr>
          <w:p w14:paraId="66CAF406" w14:textId="77777777" w:rsidR="00B23C42" w:rsidRDefault="00404CD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unidad</w:t>
            </w:r>
          </w:p>
        </w:tc>
        <w:tc>
          <w:tcPr>
            <w:tcW w:w="2102" w:type="dxa"/>
          </w:tcPr>
          <w:p w14:paraId="66CAF407" w14:textId="77777777" w:rsidR="00B23C42" w:rsidRDefault="00B23C42">
            <w:pPr>
              <w:spacing w:after="0"/>
              <w:ind w:left="0" w:hanging="2"/>
              <w:jc w:val="center"/>
            </w:pPr>
          </w:p>
          <w:p w14:paraId="66CAF408" w14:textId="77777777" w:rsidR="00B23C42" w:rsidRDefault="00404CD5">
            <w:pPr>
              <w:spacing w:after="0"/>
              <w:ind w:left="0" w:hanging="2"/>
              <w:jc w:val="center"/>
              <w:rPr>
                <w:highlight w:val="yellow"/>
              </w:rPr>
            </w:pPr>
            <w:proofErr w:type="spellStart"/>
            <w:r>
              <w:t>Quizzes</w:t>
            </w:r>
            <w:proofErr w:type="spellEnd"/>
          </w:p>
        </w:tc>
        <w:tc>
          <w:tcPr>
            <w:tcW w:w="4584" w:type="dxa"/>
            <w:vAlign w:val="center"/>
          </w:tcPr>
          <w:p w14:paraId="66CAF409" w14:textId="77777777" w:rsidR="00B23C42" w:rsidRDefault="00404CD5" w:rsidP="00D76F40">
            <w:pPr>
              <w:spacing w:after="0"/>
              <w:ind w:left="0" w:hanging="2"/>
              <w:jc w:val="center"/>
              <w:rPr>
                <w:highlight w:val="yellow"/>
              </w:rPr>
            </w:pPr>
            <w:r>
              <w:t>Utilizar correctamente las estructuras gramaticales y vocabulario en el ámbito oral, escrito y auditivo según corresponda.</w:t>
            </w:r>
          </w:p>
        </w:tc>
      </w:tr>
    </w:tbl>
    <w:p w14:paraId="66CAF40B" w14:textId="77777777" w:rsidR="00B23C42" w:rsidRDefault="00B23C42">
      <w:pPr>
        <w:ind w:left="0" w:hanging="2"/>
      </w:pPr>
    </w:p>
    <w:tbl>
      <w:tblPr>
        <w:tblStyle w:val="a4"/>
        <w:tblW w:w="94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815"/>
      </w:tblGrid>
      <w:tr w:rsidR="00B23C42" w14:paraId="66CAF410" w14:textId="77777777">
        <w:tc>
          <w:tcPr>
            <w:tcW w:w="4620" w:type="dxa"/>
            <w:shd w:val="clear" w:color="auto" w:fill="auto"/>
          </w:tcPr>
          <w:p w14:paraId="66CAF40C" w14:textId="77777777" w:rsidR="00B23C42" w:rsidRDefault="00404CD5">
            <w:pPr>
              <w:ind w:left="0" w:hanging="2"/>
            </w:pPr>
            <w:r>
              <w:t>Nota presentación                            70%</w:t>
            </w:r>
          </w:p>
          <w:p w14:paraId="66CAF40D" w14:textId="77777777" w:rsidR="00B23C42" w:rsidRDefault="00404CD5">
            <w:pPr>
              <w:ind w:left="0" w:hanging="2"/>
            </w:pPr>
            <w:r>
              <w:t>Nota eximición                                  6.0</w:t>
            </w:r>
          </w:p>
        </w:tc>
        <w:tc>
          <w:tcPr>
            <w:tcW w:w="4815" w:type="dxa"/>
            <w:vMerge w:val="restart"/>
            <w:shd w:val="clear" w:color="auto" w:fill="D9D9D9"/>
          </w:tcPr>
          <w:p w14:paraId="66CAF40E" w14:textId="77777777" w:rsidR="00B23C42" w:rsidRDefault="00404CD5">
            <w:pPr>
              <w:ind w:left="0" w:hanging="2"/>
            </w:pPr>
            <w:r>
              <w:br/>
              <w:t xml:space="preserve">Nota final  </w:t>
            </w:r>
          </w:p>
          <w:p w14:paraId="66CAF40F" w14:textId="77777777" w:rsidR="00B23C42" w:rsidRDefault="00404CD5">
            <w:pPr>
              <w:ind w:left="0" w:hanging="2"/>
            </w:pPr>
            <w:proofErr w:type="gramStart"/>
            <w:r>
              <w:t>Aprobación  4</w:t>
            </w:r>
            <w:proofErr w:type="gramEnd"/>
            <w:r>
              <w:t>.0</w:t>
            </w:r>
          </w:p>
        </w:tc>
      </w:tr>
      <w:tr w:rsidR="00B23C42" w14:paraId="66CAF413" w14:textId="77777777">
        <w:tc>
          <w:tcPr>
            <w:tcW w:w="4620" w:type="dxa"/>
          </w:tcPr>
          <w:p w14:paraId="66CAF411" w14:textId="77777777" w:rsidR="00B23C42" w:rsidRDefault="00404CD5">
            <w:pPr>
              <w:ind w:left="0" w:hanging="2"/>
            </w:pPr>
            <w:proofErr w:type="gramStart"/>
            <w:r>
              <w:t>Examen  (</w:t>
            </w:r>
            <w:proofErr w:type="gramEnd"/>
            <w:r>
              <w:t>evaluación escrita)          30%</w:t>
            </w:r>
          </w:p>
        </w:tc>
        <w:tc>
          <w:tcPr>
            <w:tcW w:w="4815" w:type="dxa"/>
            <w:vMerge/>
            <w:shd w:val="clear" w:color="auto" w:fill="D9D9D9"/>
          </w:tcPr>
          <w:p w14:paraId="66CAF412" w14:textId="77777777" w:rsidR="00B23C42" w:rsidRDefault="00B23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</w:tr>
      <w:tr w:rsidR="00B23C42" w14:paraId="66CAF415" w14:textId="77777777">
        <w:trPr>
          <w:trHeight w:val="540"/>
        </w:trPr>
        <w:tc>
          <w:tcPr>
            <w:tcW w:w="9435" w:type="dxa"/>
            <w:gridSpan w:val="2"/>
          </w:tcPr>
          <w:p w14:paraId="66CAF414" w14:textId="77777777" w:rsidR="00B23C42" w:rsidRDefault="00404CD5">
            <w:pPr>
              <w:ind w:left="0" w:hanging="2"/>
              <w:jc w:val="center"/>
            </w:pPr>
            <w:r>
              <w:rPr>
                <w:b/>
              </w:rPr>
              <w:t>Este curso no cuenta con examen de segunda instancia.</w:t>
            </w:r>
          </w:p>
        </w:tc>
      </w:tr>
    </w:tbl>
    <w:p w14:paraId="66CAF416" w14:textId="77777777" w:rsidR="00B23C42" w:rsidRDefault="00B23C42">
      <w:pPr>
        <w:ind w:left="0" w:hanging="2"/>
      </w:pPr>
    </w:p>
    <w:p w14:paraId="66CAF417" w14:textId="77777777" w:rsidR="00B23C42" w:rsidRDefault="00B23C42">
      <w:pPr>
        <w:ind w:left="0" w:hanging="2"/>
      </w:pPr>
    </w:p>
    <w:p w14:paraId="66CAF418" w14:textId="77777777" w:rsidR="00B23C42" w:rsidRDefault="00B23C42">
      <w:pPr>
        <w:ind w:left="0" w:hanging="2"/>
      </w:pPr>
    </w:p>
    <w:p w14:paraId="66CAF419" w14:textId="77777777" w:rsidR="00B23C42" w:rsidRDefault="00B23C42">
      <w:pPr>
        <w:ind w:left="0" w:hanging="2"/>
      </w:pPr>
    </w:p>
    <w:p w14:paraId="66CAF41A" w14:textId="77777777" w:rsidR="00B23C42" w:rsidRDefault="00B23C42">
      <w:pPr>
        <w:ind w:left="0" w:hanging="2"/>
      </w:pPr>
    </w:p>
    <w:p w14:paraId="66CAF41B" w14:textId="77777777" w:rsidR="00B23C42" w:rsidRDefault="00B23C42">
      <w:pPr>
        <w:ind w:left="0" w:hanging="2"/>
      </w:pPr>
    </w:p>
    <w:p w14:paraId="66CAF41C" w14:textId="77777777" w:rsidR="00B23C42" w:rsidRDefault="00B23C42">
      <w:pPr>
        <w:ind w:left="0" w:hanging="2"/>
      </w:pPr>
    </w:p>
    <w:p w14:paraId="66CAF41D" w14:textId="3D8D1D2F" w:rsidR="00B23C42" w:rsidRDefault="00B23C42">
      <w:pPr>
        <w:ind w:left="0" w:hanging="2"/>
      </w:pPr>
    </w:p>
    <w:p w14:paraId="69A55E40" w14:textId="77777777" w:rsidR="00BF0547" w:rsidRDefault="00BF0547">
      <w:pPr>
        <w:ind w:left="0" w:hanging="2"/>
      </w:pPr>
    </w:p>
    <w:p w14:paraId="66CAF41E" w14:textId="77777777" w:rsidR="00B23C42" w:rsidRDefault="00B23C42">
      <w:pPr>
        <w:ind w:left="0" w:hanging="2"/>
      </w:pPr>
    </w:p>
    <w:p w14:paraId="66CAF41F" w14:textId="57C0A158" w:rsidR="00B23C42" w:rsidRDefault="00404CD5">
      <w:pPr>
        <w:ind w:left="0" w:hanging="2"/>
        <w:jc w:val="center"/>
        <w:rPr>
          <w:b/>
        </w:rPr>
      </w:pPr>
      <w:r>
        <w:rPr>
          <w:b/>
        </w:rPr>
        <w:lastRenderedPageBreak/>
        <w:t>Unidades Temáticas</w:t>
      </w:r>
    </w:p>
    <w:tbl>
      <w:tblPr>
        <w:tblStyle w:val="a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411"/>
      </w:tblGrid>
      <w:tr w:rsidR="007974D9" w14:paraId="1F4C8788" w14:textId="77777777" w:rsidTr="007642B5">
        <w:trPr>
          <w:trHeight w:val="340"/>
        </w:trPr>
        <w:tc>
          <w:tcPr>
            <w:tcW w:w="7083" w:type="dxa"/>
            <w:shd w:val="clear" w:color="auto" w:fill="D9D9D9"/>
            <w:vAlign w:val="center"/>
          </w:tcPr>
          <w:p w14:paraId="41E71EF6" w14:textId="761961F6" w:rsidR="007974D9" w:rsidRDefault="007974D9" w:rsidP="007642B5">
            <w:pPr>
              <w:spacing w:after="0" w:line="240" w:lineRule="auto"/>
              <w:ind w:left="0" w:hanging="2"/>
            </w:pPr>
            <w:r>
              <w:t xml:space="preserve">Unidad 0:  </w:t>
            </w:r>
            <w:proofErr w:type="spellStart"/>
            <w:r>
              <w:t>Preview</w:t>
            </w:r>
            <w:proofErr w:type="spellEnd"/>
            <w:r>
              <w:t xml:space="preserve"> and </w:t>
            </w:r>
            <w:proofErr w:type="spellStart"/>
            <w:r>
              <w:t>Review</w:t>
            </w:r>
            <w:proofErr w:type="spellEnd"/>
          </w:p>
        </w:tc>
        <w:tc>
          <w:tcPr>
            <w:tcW w:w="1411" w:type="dxa"/>
            <w:shd w:val="clear" w:color="auto" w:fill="D9D9D9"/>
            <w:vAlign w:val="center"/>
          </w:tcPr>
          <w:p w14:paraId="5A9B9FC1" w14:textId="77777777" w:rsidR="007974D9" w:rsidRDefault="007974D9" w:rsidP="007642B5">
            <w:pPr>
              <w:spacing w:after="0" w:line="240" w:lineRule="auto"/>
              <w:ind w:left="0" w:hanging="2"/>
            </w:pPr>
            <w:r>
              <w:t>Duración en Semanas</w:t>
            </w:r>
          </w:p>
        </w:tc>
      </w:tr>
      <w:tr w:rsidR="007974D9" w14:paraId="5DCC6536" w14:textId="77777777" w:rsidTr="007642B5">
        <w:trPr>
          <w:trHeight w:val="500"/>
        </w:trPr>
        <w:tc>
          <w:tcPr>
            <w:tcW w:w="7083" w:type="dxa"/>
            <w:tcBorders>
              <w:bottom w:val="single" w:sz="4" w:space="0" w:color="000000"/>
            </w:tcBorders>
            <w:vAlign w:val="center"/>
          </w:tcPr>
          <w:p w14:paraId="55F82CC5" w14:textId="6D9AF438" w:rsidR="007974D9" w:rsidRPr="00D70189" w:rsidRDefault="004B767B" w:rsidP="007642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  <w:r>
              <w:rPr>
                <w:lang w:val="en-US"/>
              </w:rPr>
              <w:t>Simple Present</w:t>
            </w:r>
          </w:p>
          <w:p w14:paraId="2CDA5C88" w14:textId="32DCC827" w:rsidR="007974D9" w:rsidRPr="00410A5F" w:rsidRDefault="004B767B" w:rsidP="007642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14:paraId="737A4DE3" w14:textId="26803809" w:rsidR="007974D9" w:rsidRPr="00D70189" w:rsidRDefault="000172B4" w:rsidP="007642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>
              <w:rPr>
                <w:lang w:val="en-US"/>
              </w:rPr>
              <w:t>Prepositions and imperatives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360AF7AC" w14:textId="548ED26C" w:rsidR="007974D9" w:rsidRDefault="002F076B" w:rsidP="007642B5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</w:tbl>
    <w:p w14:paraId="1E4E0088" w14:textId="77777777" w:rsidR="007974D9" w:rsidRDefault="007974D9">
      <w:pPr>
        <w:ind w:left="0" w:hanging="2"/>
        <w:jc w:val="center"/>
      </w:pPr>
    </w:p>
    <w:tbl>
      <w:tblPr>
        <w:tblStyle w:val="a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411"/>
      </w:tblGrid>
      <w:tr w:rsidR="00B23C42" w14:paraId="66CAF422" w14:textId="77777777">
        <w:trPr>
          <w:trHeight w:val="340"/>
        </w:trPr>
        <w:tc>
          <w:tcPr>
            <w:tcW w:w="7083" w:type="dxa"/>
            <w:shd w:val="clear" w:color="auto" w:fill="D9D9D9"/>
            <w:vAlign w:val="center"/>
          </w:tcPr>
          <w:p w14:paraId="66CAF420" w14:textId="2606B8CA" w:rsidR="00B23C42" w:rsidRDefault="00404CD5">
            <w:pPr>
              <w:spacing w:after="0" w:line="240" w:lineRule="auto"/>
              <w:ind w:left="0" w:hanging="2"/>
            </w:pPr>
            <w:r>
              <w:t xml:space="preserve">Unidad 1: 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Occasions</w:t>
            </w:r>
            <w:proofErr w:type="spellEnd"/>
            <w:r>
              <w:t xml:space="preserve"> 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66CAF421" w14:textId="77777777" w:rsidR="00B23C42" w:rsidRDefault="00404CD5">
            <w:pPr>
              <w:spacing w:after="0" w:line="240" w:lineRule="auto"/>
              <w:ind w:left="0" w:hanging="2"/>
            </w:pPr>
            <w:r>
              <w:t>Duración en Semanas</w:t>
            </w:r>
          </w:p>
        </w:tc>
      </w:tr>
      <w:tr w:rsidR="00B23C42" w14:paraId="66CAF428" w14:textId="77777777">
        <w:trPr>
          <w:trHeight w:val="500"/>
        </w:trPr>
        <w:tc>
          <w:tcPr>
            <w:tcW w:w="7083" w:type="dxa"/>
            <w:tcBorders>
              <w:bottom w:val="single" w:sz="4" w:space="0" w:color="000000"/>
            </w:tcBorders>
            <w:vAlign w:val="center"/>
          </w:tcPr>
          <w:p w14:paraId="66CAF423" w14:textId="77777777" w:rsidR="00B23C42" w:rsidRPr="00D70189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  <w:r w:rsidRPr="00D70189">
              <w:rPr>
                <w:lang w:val="en-US"/>
              </w:rPr>
              <w:t>Simple Past: regular and irregular verbs</w:t>
            </w:r>
          </w:p>
          <w:p w14:paraId="66CAF424" w14:textId="46A18E9D" w:rsidR="00B23C42" w:rsidRPr="00410A5F" w:rsidRDefault="00410A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  <w:r>
              <w:rPr>
                <w:lang w:val="en-US"/>
              </w:rPr>
              <w:t>Was/were</w:t>
            </w:r>
          </w:p>
          <w:p w14:paraId="66CAF425" w14:textId="419B8B98" w:rsidR="00B23C42" w:rsidRPr="00D70189" w:rsidRDefault="00404C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Connectors: Cause</w:t>
            </w:r>
            <w:r w:rsidR="0067760D">
              <w:rPr>
                <w:lang w:val="en-US"/>
              </w:rPr>
              <w:t xml:space="preserve">, </w:t>
            </w:r>
            <w:r w:rsidRPr="00D70189">
              <w:rPr>
                <w:lang w:val="en-US"/>
              </w:rPr>
              <w:t>effect and contrast</w:t>
            </w:r>
          </w:p>
          <w:p w14:paraId="66CAF426" w14:textId="2DA8ADD4" w:rsidR="00B23C42" w:rsidRPr="00D70189" w:rsidRDefault="00404C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Countries and nationalities - worldwide celebrations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66CAF427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</w:tbl>
    <w:p w14:paraId="66CAF429" w14:textId="77777777" w:rsidR="00B23C42" w:rsidRDefault="00B23C42">
      <w:pPr>
        <w:ind w:left="0" w:hanging="2"/>
        <w:jc w:val="center"/>
      </w:pPr>
    </w:p>
    <w:tbl>
      <w:tblPr>
        <w:tblStyle w:val="a6"/>
        <w:tblW w:w="849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411"/>
      </w:tblGrid>
      <w:tr w:rsidR="00B23C42" w14:paraId="66CAF42C" w14:textId="77777777" w:rsidTr="00BF0547">
        <w:trPr>
          <w:trHeight w:val="340"/>
        </w:trPr>
        <w:tc>
          <w:tcPr>
            <w:tcW w:w="7083" w:type="dxa"/>
            <w:shd w:val="clear" w:color="auto" w:fill="D9D9D9"/>
            <w:vAlign w:val="center"/>
          </w:tcPr>
          <w:p w14:paraId="66CAF42A" w14:textId="74B54E36" w:rsidR="00B23C42" w:rsidRPr="00D70189" w:rsidRDefault="00404CD5">
            <w:pP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Unidad 2: Movies and Series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66CAF42B" w14:textId="77777777" w:rsidR="00B23C42" w:rsidRDefault="00404CD5">
            <w:pPr>
              <w:spacing w:after="0" w:line="240" w:lineRule="auto"/>
              <w:ind w:left="0" w:hanging="2"/>
            </w:pPr>
            <w:r>
              <w:t>Duración en Semanas</w:t>
            </w:r>
          </w:p>
        </w:tc>
      </w:tr>
      <w:tr w:rsidR="00B23C42" w14:paraId="66CAF433" w14:textId="77777777" w:rsidTr="00BF0547">
        <w:trPr>
          <w:trHeight w:val="340"/>
        </w:trPr>
        <w:tc>
          <w:tcPr>
            <w:tcW w:w="7083" w:type="dxa"/>
            <w:vAlign w:val="center"/>
          </w:tcPr>
          <w:p w14:paraId="66CAF42D" w14:textId="77777777" w:rsidR="00B23C42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  <w:p w14:paraId="66CAF42F" w14:textId="77777777" w:rsidR="00B23C42" w:rsidRPr="00D70189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Sentences with more than one clause</w:t>
            </w:r>
          </w:p>
          <w:p w14:paraId="66CAF431" w14:textId="525A5726" w:rsidR="00B23C42" w:rsidRPr="00D70189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 xml:space="preserve">Give opinion </w:t>
            </w:r>
            <w:r w:rsidR="004078D6">
              <w:rPr>
                <w:lang w:val="en-US"/>
              </w:rPr>
              <w:t xml:space="preserve">and summaries </w:t>
            </w:r>
            <w:r w:rsidRPr="00D70189">
              <w:rPr>
                <w:lang w:val="en-US"/>
              </w:rPr>
              <w:t>about favorite movies or books</w:t>
            </w:r>
          </w:p>
        </w:tc>
        <w:tc>
          <w:tcPr>
            <w:tcW w:w="1411" w:type="dxa"/>
            <w:vAlign w:val="center"/>
          </w:tcPr>
          <w:p w14:paraId="66CAF432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</w:tbl>
    <w:p w14:paraId="66CAF434" w14:textId="77777777" w:rsidR="00B23C42" w:rsidRDefault="00B23C42">
      <w:pPr>
        <w:ind w:left="0" w:hanging="2"/>
        <w:jc w:val="center"/>
      </w:pPr>
    </w:p>
    <w:tbl>
      <w:tblPr>
        <w:tblStyle w:val="a7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411"/>
      </w:tblGrid>
      <w:tr w:rsidR="00B23C42" w14:paraId="66CAF437" w14:textId="77777777">
        <w:trPr>
          <w:trHeight w:val="340"/>
        </w:trPr>
        <w:tc>
          <w:tcPr>
            <w:tcW w:w="7083" w:type="dxa"/>
            <w:shd w:val="clear" w:color="auto" w:fill="D9D9D9"/>
            <w:vAlign w:val="center"/>
          </w:tcPr>
          <w:p w14:paraId="66CAF435" w14:textId="309BEABE" w:rsidR="00B23C42" w:rsidRPr="00D70189" w:rsidRDefault="00404CD5">
            <w:pP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Unidad</w:t>
            </w:r>
            <w:r w:rsidR="004C7D5A">
              <w:rPr>
                <w:lang w:val="en-US"/>
              </w:rPr>
              <w:t xml:space="preserve"> </w:t>
            </w:r>
            <w:r w:rsidRPr="00D70189">
              <w:rPr>
                <w:lang w:val="en-US"/>
              </w:rPr>
              <w:t>3:  Culture and the Arts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66CAF436" w14:textId="77777777" w:rsidR="00B23C42" w:rsidRDefault="00404CD5">
            <w:pPr>
              <w:spacing w:after="0" w:line="240" w:lineRule="auto"/>
              <w:ind w:left="0" w:hanging="2"/>
            </w:pPr>
            <w:r>
              <w:t>Duración en Semanas</w:t>
            </w:r>
          </w:p>
        </w:tc>
      </w:tr>
      <w:tr w:rsidR="00B23C42" w14:paraId="66CAF43D" w14:textId="77777777">
        <w:trPr>
          <w:trHeight w:val="340"/>
        </w:trPr>
        <w:tc>
          <w:tcPr>
            <w:tcW w:w="7083" w:type="dxa"/>
            <w:tcBorders>
              <w:bottom w:val="single" w:sz="4" w:space="0" w:color="000000"/>
            </w:tcBorders>
            <w:vAlign w:val="center"/>
          </w:tcPr>
          <w:p w14:paraId="66CAF438" w14:textId="09D91AA4" w:rsidR="00B23C42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Compound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  <w:r>
              <w:t xml:space="preserve"> </w:t>
            </w:r>
            <w:proofErr w:type="spellStart"/>
            <w:r w:rsidR="00E5599F">
              <w:t>for</w:t>
            </w:r>
            <w:proofErr w:type="spellEnd"/>
            <w:r w:rsidR="00E5599F">
              <w:t xml:space="preserve"> </w:t>
            </w:r>
            <w:proofErr w:type="spellStart"/>
            <w:r w:rsidR="00E5599F">
              <w:t>descriptions</w:t>
            </w:r>
            <w:proofErr w:type="spellEnd"/>
          </w:p>
          <w:p w14:paraId="66CAF439" w14:textId="14954371" w:rsidR="00B23C42" w:rsidRPr="00D70189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Using adverbs of manner to describe art</w:t>
            </w:r>
            <w:r w:rsidR="003D5D1B">
              <w:rPr>
                <w:lang w:val="en-US"/>
              </w:rPr>
              <w:t xml:space="preserve"> works</w:t>
            </w:r>
          </w:p>
          <w:p w14:paraId="66CAF43A" w14:textId="65B39BB1" w:rsidR="00B23C42" w:rsidRPr="003D5D1B" w:rsidRDefault="003D5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3D5D1B">
              <w:rPr>
                <w:lang w:val="en-US"/>
              </w:rPr>
              <w:t>Vocabulary to express emotions a</w:t>
            </w:r>
            <w:r>
              <w:rPr>
                <w:lang w:val="en-US"/>
              </w:rPr>
              <w:t>nd feelings</w:t>
            </w:r>
          </w:p>
          <w:p w14:paraId="66CAF43B" w14:textId="77777777" w:rsidR="00B23C42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proofErr w:type="spellStart"/>
            <w:r>
              <w:t>Phrases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66CAF43C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</w:tbl>
    <w:p w14:paraId="66CAF43E" w14:textId="77777777" w:rsidR="00B23C42" w:rsidRDefault="00B23C42">
      <w:pPr>
        <w:ind w:left="0" w:hanging="2"/>
        <w:jc w:val="center"/>
      </w:pPr>
    </w:p>
    <w:tbl>
      <w:tblPr>
        <w:tblStyle w:val="a8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411"/>
      </w:tblGrid>
      <w:tr w:rsidR="00B23C42" w14:paraId="66CAF441" w14:textId="77777777">
        <w:trPr>
          <w:trHeight w:val="340"/>
        </w:trPr>
        <w:tc>
          <w:tcPr>
            <w:tcW w:w="7083" w:type="dxa"/>
            <w:shd w:val="clear" w:color="auto" w:fill="D9D9D9"/>
            <w:vAlign w:val="center"/>
          </w:tcPr>
          <w:p w14:paraId="66CAF43F" w14:textId="155AA9B5" w:rsidR="00B23C42" w:rsidRPr="00D70189" w:rsidRDefault="00404CD5">
            <w:pPr>
              <w:spacing w:after="0" w:line="240" w:lineRule="auto"/>
              <w:ind w:left="0" w:hanging="2"/>
              <w:rPr>
                <w:lang w:val="en-US"/>
              </w:rPr>
            </w:pPr>
            <w:r w:rsidRPr="00D70189">
              <w:rPr>
                <w:lang w:val="en-US"/>
              </w:rPr>
              <w:t>Unidad 4:  Environment and Recycling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66CAF440" w14:textId="77777777" w:rsidR="00B23C42" w:rsidRDefault="00404CD5">
            <w:pPr>
              <w:spacing w:after="0" w:line="240" w:lineRule="auto"/>
              <w:ind w:left="0" w:hanging="2"/>
            </w:pPr>
            <w:r>
              <w:t>Duración en Semanas</w:t>
            </w:r>
          </w:p>
        </w:tc>
      </w:tr>
      <w:tr w:rsidR="00B23C42" w14:paraId="66CAF447" w14:textId="77777777">
        <w:trPr>
          <w:trHeight w:val="340"/>
        </w:trPr>
        <w:tc>
          <w:tcPr>
            <w:tcW w:w="7083" w:type="dxa"/>
            <w:tcBorders>
              <w:bottom w:val="single" w:sz="4" w:space="0" w:color="000000"/>
            </w:tcBorders>
            <w:vAlign w:val="center"/>
          </w:tcPr>
          <w:p w14:paraId="66CAF442" w14:textId="05E6AE47" w:rsidR="00B23C42" w:rsidRPr="00934BEE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en-US"/>
              </w:rPr>
            </w:pPr>
            <w:r w:rsidRPr="00934BEE">
              <w:rPr>
                <w:lang w:val="en-US"/>
              </w:rPr>
              <w:t>Modal verbs</w:t>
            </w:r>
            <w:r w:rsidR="00DB11A6" w:rsidRPr="00934BEE">
              <w:rPr>
                <w:lang w:val="en-US"/>
              </w:rPr>
              <w:t>:</w:t>
            </w:r>
            <w:r w:rsidRPr="00934BEE">
              <w:rPr>
                <w:lang w:val="en-US"/>
              </w:rPr>
              <w:t xml:space="preserve"> obligations and advice</w:t>
            </w:r>
          </w:p>
          <w:p w14:paraId="66CAF444" w14:textId="77777777" w:rsidR="00B23C42" w:rsidRPr="00401A53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401A53">
              <w:rPr>
                <w:lang w:val="en-US"/>
              </w:rPr>
              <w:t>Expressing opinions on the environment</w:t>
            </w:r>
          </w:p>
          <w:p w14:paraId="66CAF445" w14:textId="26372275" w:rsidR="00B23C42" w:rsidRPr="003E0843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lang w:val="en-US"/>
              </w:rPr>
            </w:pPr>
            <w:r w:rsidRPr="003E0843">
              <w:rPr>
                <w:lang w:val="en-US"/>
              </w:rPr>
              <w:t>Imperative forms</w:t>
            </w:r>
            <w:r w:rsidR="003E0843" w:rsidRPr="003E0843">
              <w:rPr>
                <w:lang w:val="en-US"/>
              </w:rPr>
              <w:t xml:space="preserve"> for environme</w:t>
            </w:r>
            <w:r w:rsidR="00934BEE">
              <w:rPr>
                <w:lang w:val="en-US"/>
              </w:rPr>
              <w:t>n</w:t>
            </w:r>
            <w:r w:rsidR="003E0843" w:rsidRPr="003E0843">
              <w:rPr>
                <w:lang w:val="en-US"/>
              </w:rPr>
              <w:t>tally a</w:t>
            </w:r>
            <w:r w:rsidR="003E0843">
              <w:rPr>
                <w:lang w:val="en-US"/>
              </w:rPr>
              <w:t xml:space="preserve">ware </w:t>
            </w:r>
            <w:r w:rsidR="00934BEE">
              <w:rPr>
                <w:lang w:val="en-US"/>
              </w:rPr>
              <w:t>recommendations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66CAF446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t>2</w:t>
            </w:r>
          </w:p>
        </w:tc>
      </w:tr>
    </w:tbl>
    <w:p w14:paraId="66CAF448" w14:textId="77777777" w:rsidR="00B23C42" w:rsidRDefault="00B23C42">
      <w:pPr>
        <w:ind w:left="0" w:hanging="2"/>
      </w:pPr>
    </w:p>
    <w:tbl>
      <w:tblPr>
        <w:tblStyle w:val="a9"/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2"/>
        <w:gridCol w:w="1475"/>
      </w:tblGrid>
      <w:tr w:rsidR="00B23C42" w14:paraId="66CAF44B" w14:textId="77777777">
        <w:trPr>
          <w:trHeight w:val="340"/>
        </w:trPr>
        <w:tc>
          <w:tcPr>
            <w:tcW w:w="709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6CAF449" w14:textId="5469224F" w:rsidR="00B23C42" w:rsidRDefault="00404CD5">
            <w:pPr>
              <w:spacing w:after="0" w:line="240" w:lineRule="auto"/>
              <w:ind w:left="0" w:hanging="2"/>
            </w:pPr>
            <w:r>
              <w:t xml:space="preserve">Unidad 5:   </w:t>
            </w:r>
            <w:proofErr w:type="spellStart"/>
            <w:r>
              <w:t>Problems</w:t>
            </w:r>
            <w:proofErr w:type="spellEnd"/>
            <w:r w:rsidR="00406547">
              <w:t xml:space="preserve"> </w:t>
            </w:r>
            <w:proofErr w:type="spellStart"/>
            <w:r w:rsidR="00625962">
              <w:t>over</w:t>
            </w:r>
            <w:proofErr w:type="spellEnd"/>
            <w:r w:rsidR="00625962">
              <w:t xml:space="preserve"> time</w:t>
            </w:r>
          </w:p>
        </w:tc>
        <w:tc>
          <w:tcPr>
            <w:tcW w:w="147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6CAF44A" w14:textId="77777777" w:rsidR="00B23C42" w:rsidRDefault="00404CD5">
            <w:pPr>
              <w:spacing w:after="0" w:line="240" w:lineRule="auto"/>
              <w:ind w:left="0" w:hanging="2"/>
            </w:pPr>
            <w:r>
              <w:t>Duración en Semanas</w:t>
            </w:r>
          </w:p>
        </w:tc>
      </w:tr>
      <w:tr w:rsidR="00B23C42" w14:paraId="66CAF452" w14:textId="77777777">
        <w:trPr>
          <w:trHeight w:val="1040"/>
        </w:trPr>
        <w:tc>
          <w:tcPr>
            <w:tcW w:w="7092" w:type="dxa"/>
            <w:tcBorders>
              <w:bottom w:val="single" w:sz="4" w:space="0" w:color="000000"/>
              <w:right w:val="single" w:sz="4" w:space="0" w:color="000000"/>
            </w:tcBorders>
          </w:tcPr>
          <w:p w14:paraId="66CAF44C" w14:textId="0285A1B0" w:rsidR="00B23C42" w:rsidRPr="00625962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and </w:t>
            </w:r>
            <w:proofErr w:type="spellStart"/>
            <w:r>
              <w:t>disagreement</w:t>
            </w:r>
            <w:proofErr w:type="spellEnd"/>
          </w:p>
          <w:p w14:paraId="5B987DC1" w14:textId="0301AA42" w:rsidR="00625962" w:rsidRDefault="006259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t>Prepositions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time</w:t>
            </w:r>
          </w:p>
          <w:p w14:paraId="66CAF44D" w14:textId="638BF966" w:rsidR="00B23C42" w:rsidRPr="00DB11A6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lang w:val="en-US"/>
              </w:rPr>
            </w:pPr>
            <w:r w:rsidRPr="00DB11A6">
              <w:rPr>
                <w:lang w:val="en-US"/>
              </w:rPr>
              <w:t>Present Perfect</w:t>
            </w:r>
            <w:r w:rsidR="00DB11A6" w:rsidRPr="00DB11A6">
              <w:rPr>
                <w:lang w:val="en-US"/>
              </w:rPr>
              <w:t xml:space="preserve"> to connect p</w:t>
            </w:r>
            <w:r w:rsidR="00DB11A6">
              <w:rPr>
                <w:lang w:val="en-US"/>
              </w:rPr>
              <w:t>ast and present</w:t>
            </w:r>
          </w:p>
          <w:p w14:paraId="66CAF44E" w14:textId="269F67E0" w:rsidR="00B23C42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proofErr w:type="spellStart"/>
            <w:r>
              <w:t>Making</w:t>
            </w:r>
            <w:proofErr w:type="spellEnd"/>
            <w:r>
              <w:t xml:space="preserve"> and </w:t>
            </w:r>
            <w:proofErr w:type="spellStart"/>
            <w:r>
              <w:t>defending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</w:p>
          <w:p w14:paraId="66CAF44F" w14:textId="627E47E5" w:rsidR="00B23C42" w:rsidRPr="00DB11A6" w:rsidRDefault="00404C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lang w:val="en-US"/>
              </w:rPr>
            </w:pPr>
            <w:r w:rsidRPr="00DB11A6">
              <w:rPr>
                <w:lang w:val="en-US"/>
              </w:rPr>
              <w:t>Compound sentences</w:t>
            </w:r>
            <w:r w:rsidR="00DB11A6" w:rsidRPr="00DB11A6">
              <w:rPr>
                <w:lang w:val="en-US"/>
              </w:rPr>
              <w:t xml:space="preserve"> to express c</w:t>
            </w:r>
            <w:r w:rsidR="00DB11A6">
              <w:rPr>
                <w:lang w:val="en-US"/>
              </w:rPr>
              <w:t>omplex ideas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66CAF450" w14:textId="77777777" w:rsidR="00B23C42" w:rsidRPr="00DB11A6" w:rsidRDefault="00B23C42">
            <w:pPr>
              <w:spacing w:after="0" w:line="240" w:lineRule="auto"/>
              <w:ind w:left="0" w:hanging="2"/>
              <w:jc w:val="center"/>
              <w:rPr>
                <w:lang w:val="en-US"/>
              </w:rPr>
            </w:pPr>
          </w:p>
          <w:p w14:paraId="66CAF451" w14:textId="064F76D7" w:rsidR="00B23C42" w:rsidRDefault="004B767B">
            <w:pPr>
              <w:spacing w:after="0" w:line="240" w:lineRule="auto"/>
              <w:ind w:left="0" w:hanging="2"/>
              <w:jc w:val="center"/>
            </w:pPr>
            <w:r>
              <w:t>3</w:t>
            </w:r>
          </w:p>
        </w:tc>
      </w:tr>
    </w:tbl>
    <w:p w14:paraId="66CAF453" w14:textId="77777777" w:rsidR="00B23C42" w:rsidRDefault="00B23C42">
      <w:pPr>
        <w:ind w:left="0" w:hanging="2"/>
      </w:pPr>
    </w:p>
    <w:tbl>
      <w:tblPr>
        <w:tblStyle w:val="ab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B23C42" w14:paraId="66CAF460" w14:textId="77777777">
        <w:trPr>
          <w:trHeight w:val="340"/>
        </w:trPr>
        <w:tc>
          <w:tcPr>
            <w:tcW w:w="8494" w:type="dxa"/>
            <w:shd w:val="clear" w:color="auto" w:fill="D9D9D9"/>
          </w:tcPr>
          <w:p w14:paraId="66CAF45F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lastRenderedPageBreak/>
              <w:t>Bibliografía General</w:t>
            </w:r>
          </w:p>
        </w:tc>
      </w:tr>
      <w:tr w:rsidR="00B23C42" w:rsidRPr="00BC504F" w14:paraId="66CAF465" w14:textId="77777777">
        <w:trPr>
          <w:trHeight w:val="920"/>
        </w:trPr>
        <w:tc>
          <w:tcPr>
            <w:tcW w:w="8494" w:type="dxa"/>
          </w:tcPr>
          <w:p w14:paraId="66CAF462" w14:textId="48EBAE07" w:rsidR="00B23C42" w:rsidRPr="00BC504F" w:rsidRDefault="00404CD5">
            <w:pPr>
              <w:spacing w:after="0" w:line="240" w:lineRule="auto"/>
              <w:ind w:left="0" w:hanging="2"/>
              <w:rPr>
                <w:b/>
              </w:rPr>
            </w:pPr>
            <w:proofErr w:type="spellStart"/>
            <w:r w:rsidRPr="00BC504F">
              <w:rPr>
                <w:b/>
              </w:rPr>
              <w:t>Dictionaries</w:t>
            </w:r>
            <w:proofErr w:type="spellEnd"/>
            <w:r w:rsidRPr="00BC504F">
              <w:rPr>
                <w:b/>
              </w:rPr>
              <w:br/>
            </w:r>
            <w:r w:rsidR="0070516C" w:rsidRPr="00BC504F">
              <w:rPr>
                <w:b/>
              </w:rPr>
              <w:t>www.merriamwebster.com</w:t>
            </w:r>
            <w:r w:rsidRPr="00BC504F">
              <w:rPr>
                <w:b/>
              </w:rPr>
              <w:br/>
            </w:r>
            <w:r w:rsidR="0070516C" w:rsidRPr="00BC504F">
              <w:rPr>
                <w:b/>
              </w:rPr>
              <w:t>www.wordreference.com</w:t>
            </w:r>
          </w:p>
          <w:p w14:paraId="66CAF463" w14:textId="77777777" w:rsidR="00B23C42" w:rsidRPr="00BC504F" w:rsidRDefault="00B23C42">
            <w:pPr>
              <w:spacing w:after="0" w:line="240" w:lineRule="auto"/>
              <w:ind w:left="0" w:hanging="2"/>
              <w:rPr>
                <w:b/>
              </w:rPr>
            </w:pPr>
          </w:p>
          <w:p w14:paraId="77EEB3FD" w14:textId="4D511CA8" w:rsidR="007E6E69" w:rsidRPr="00BC504F" w:rsidRDefault="00404CD5">
            <w:pPr>
              <w:spacing w:after="0" w:line="240" w:lineRule="auto"/>
              <w:ind w:left="0" w:hanging="2"/>
              <w:rPr>
                <w:b/>
                <w:lang w:val="en-US"/>
              </w:rPr>
            </w:pPr>
            <w:r w:rsidRPr="00BC504F">
              <w:rPr>
                <w:b/>
                <w:lang w:val="en-US"/>
              </w:rPr>
              <w:t>Books</w:t>
            </w:r>
          </w:p>
          <w:p w14:paraId="66CAF464" w14:textId="6362B498" w:rsidR="00B23C42" w:rsidRPr="00DB11A6" w:rsidRDefault="007974D9">
            <w:pPr>
              <w:spacing w:after="0" w:line="240" w:lineRule="auto"/>
              <w:ind w:left="0" w:hanging="2"/>
              <w:rPr>
                <w:lang w:val="en-US"/>
              </w:rPr>
            </w:pPr>
            <w:r w:rsidRPr="00BC504F">
              <w:rPr>
                <w:b/>
                <w:lang w:val="en-US"/>
              </w:rPr>
              <w:t xml:space="preserve">Murphy’s English Grammar in Use </w:t>
            </w:r>
            <w:r w:rsidR="00BE7825" w:rsidRPr="00BC504F">
              <w:rPr>
                <w:b/>
                <w:lang w:val="en-US"/>
              </w:rPr>
              <w:t xml:space="preserve">- </w:t>
            </w:r>
            <w:r w:rsidRPr="00BC504F">
              <w:rPr>
                <w:b/>
                <w:lang w:val="en-US"/>
              </w:rPr>
              <w:t>Cambridge</w:t>
            </w:r>
            <w:r w:rsidR="00404CD5" w:rsidRPr="00BC504F">
              <w:rPr>
                <w:b/>
                <w:lang w:val="en-US"/>
              </w:rPr>
              <w:br/>
            </w:r>
            <w:r w:rsidR="00404CD5" w:rsidRPr="00BC504F">
              <w:rPr>
                <w:b/>
                <w:lang w:val="en-US"/>
              </w:rPr>
              <w:br/>
              <w:t xml:space="preserve">Material audiovisual de </w:t>
            </w:r>
            <w:proofErr w:type="spellStart"/>
            <w:r w:rsidR="00404CD5" w:rsidRPr="00BC504F">
              <w:rPr>
                <w:b/>
                <w:lang w:val="en-US"/>
              </w:rPr>
              <w:t>diversas</w:t>
            </w:r>
            <w:proofErr w:type="spellEnd"/>
            <w:r w:rsidR="00404CD5" w:rsidRPr="00BC504F">
              <w:rPr>
                <w:b/>
                <w:lang w:val="en-US"/>
              </w:rPr>
              <w:t xml:space="preserve"> </w:t>
            </w:r>
            <w:proofErr w:type="spellStart"/>
            <w:r w:rsidR="00404CD5" w:rsidRPr="00BC504F">
              <w:rPr>
                <w:b/>
                <w:lang w:val="en-US"/>
              </w:rPr>
              <w:t>fuentes</w:t>
            </w:r>
            <w:proofErr w:type="spellEnd"/>
          </w:p>
        </w:tc>
        <w:bookmarkStart w:id="1" w:name="_GoBack"/>
        <w:bookmarkEnd w:id="1"/>
      </w:tr>
    </w:tbl>
    <w:p w14:paraId="66CAF466" w14:textId="77777777" w:rsidR="00B23C42" w:rsidRPr="00DB11A6" w:rsidRDefault="00B23C42">
      <w:pPr>
        <w:spacing w:after="0"/>
        <w:ind w:left="0" w:hanging="2"/>
        <w:rPr>
          <w:lang w:val="en-US"/>
        </w:rPr>
      </w:pPr>
    </w:p>
    <w:tbl>
      <w:tblPr>
        <w:tblStyle w:val="ac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B23C42" w14:paraId="66CAF468" w14:textId="77777777">
        <w:trPr>
          <w:trHeight w:val="420"/>
        </w:trPr>
        <w:tc>
          <w:tcPr>
            <w:tcW w:w="8494" w:type="dxa"/>
            <w:shd w:val="clear" w:color="auto" w:fill="D9D9D9"/>
          </w:tcPr>
          <w:p w14:paraId="66CAF467" w14:textId="77777777" w:rsidR="00B23C42" w:rsidRDefault="00404CD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Información importante</w:t>
            </w:r>
          </w:p>
        </w:tc>
      </w:tr>
      <w:tr w:rsidR="00B23C42" w14:paraId="66CAF471" w14:textId="77777777">
        <w:trPr>
          <w:trHeight w:val="920"/>
        </w:trPr>
        <w:tc>
          <w:tcPr>
            <w:tcW w:w="8494" w:type="dxa"/>
          </w:tcPr>
          <w:p w14:paraId="66CAF469" w14:textId="77777777" w:rsidR="00B23C42" w:rsidRDefault="00404CD5">
            <w:pPr>
              <w:spacing w:after="0" w:line="240" w:lineRule="auto"/>
              <w:ind w:left="0" w:hanging="2"/>
            </w:pPr>
            <w:r>
              <w:t xml:space="preserve"> Debido a la naturaleza colaborativa y participativa del curso, </w:t>
            </w:r>
            <w:r>
              <w:rPr>
                <w:b/>
              </w:rPr>
              <w:t xml:space="preserve">las/os estudiantes deberán asistir a un </w:t>
            </w:r>
            <w:r>
              <w:rPr>
                <w:b/>
                <w:u w:val="single"/>
              </w:rPr>
              <w:t>mínimo del 80%</w:t>
            </w:r>
            <w:r>
              <w:rPr>
                <w:b/>
              </w:rPr>
              <w:t xml:space="preserve"> de las clases realizadas</w:t>
            </w:r>
            <w:r>
              <w:t>, como se especifica anteriormente.</w:t>
            </w:r>
          </w:p>
          <w:p w14:paraId="66CAF46A" w14:textId="77777777" w:rsidR="00B23C42" w:rsidRDefault="00404CD5">
            <w:pPr>
              <w:spacing w:after="0" w:line="240" w:lineRule="auto"/>
              <w:ind w:left="0" w:hanging="2"/>
            </w:pPr>
            <w:r>
              <w:t xml:space="preserve">La </w:t>
            </w:r>
            <w:proofErr w:type="gramStart"/>
            <w:r>
              <w:t>participación activa</w:t>
            </w:r>
            <w:proofErr w:type="gramEnd"/>
            <w:r>
              <w:t xml:space="preserve"> en clase es clave para el desarrollo del curso.</w:t>
            </w:r>
          </w:p>
          <w:p w14:paraId="66CAF46B" w14:textId="77777777" w:rsidR="00B23C42" w:rsidRDefault="00B23C42">
            <w:pPr>
              <w:spacing w:after="0" w:line="240" w:lineRule="auto"/>
              <w:ind w:left="0" w:hanging="2"/>
            </w:pPr>
          </w:p>
          <w:p w14:paraId="66CAF46C" w14:textId="77777777" w:rsidR="00B23C42" w:rsidRDefault="00404CD5">
            <w:pPr>
              <w:spacing w:after="160" w:line="259" w:lineRule="auto"/>
              <w:ind w:left="0" w:hanging="2"/>
              <w:jc w:val="both"/>
            </w:pPr>
            <w:r>
              <w:t>En el caso de que a lo largo del semestre surgiera algún problema personal y/o familiar que afecte su proceso de aprendizaje, la comunicación con el profesor será crucial para poder buscar una solución en conjunto.</w:t>
            </w:r>
          </w:p>
          <w:p w14:paraId="66CAF46D" w14:textId="77777777" w:rsidR="00B23C42" w:rsidRDefault="00404CD5">
            <w:pPr>
              <w:spacing w:after="160" w:line="259" w:lineRule="auto"/>
              <w:ind w:left="0" w:hanging="2"/>
            </w:pPr>
            <w:r>
              <w:t xml:space="preserve">La/el estudiante que falte sin la debida justificación a cualquier actividad evaluada será calificada/o automáticamente con la nota mínima de la escala de calificaciones (1,0). Frente a este hecho, la/el estudiante dispondrá de un plazo de 3 días hábiles para hacer llegar al </w:t>
            </w:r>
            <w:proofErr w:type="gramStart"/>
            <w:r>
              <w:t>Jefe</w:t>
            </w:r>
            <w:proofErr w:type="gramEnd"/>
            <w:r>
              <w:t xml:space="preserve"> de Carrera las razones de su inasistencia, para que éste la comunique al docente de la asignatura.  La debida justificación quedará como “falta justificada” en el registro de asistencia.</w:t>
            </w:r>
            <w:r>
              <w:br/>
              <w:t>Aquellas inasistencias debido a actividades extracurriculares, salidas a terreno, o actividades en representación de la universidad, deben ser justificadas mediante el conducto regular por el profesor a cargo de dicha actividad. De ser necesario, el estudiante debe recordarle al encargado de su actividad, que envíe la justificación correspondiente al profesor de la asignatura.</w:t>
            </w:r>
          </w:p>
          <w:p w14:paraId="66CAF46E" w14:textId="77777777" w:rsidR="00B23C42" w:rsidRDefault="00404CD5">
            <w:pPr>
              <w:spacing w:after="0" w:line="240" w:lineRule="auto"/>
              <w:ind w:left="0" w:hanging="2"/>
            </w:pPr>
            <w:r>
              <w:rPr>
                <w:b/>
              </w:rPr>
              <w:t>Integridad académica</w:t>
            </w:r>
          </w:p>
          <w:p w14:paraId="66CAF46F" w14:textId="77777777" w:rsidR="00B23C42" w:rsidRDefault="00404CD5">
            <w:pPr>
              <w:spacing w:after="0" w:line="240" w:lineRule="auto"/>
              <w:ind w:left="0" w:hanging="2"/>
            </w:pPr>
            <w:r>
              <w:t xml:space="preserve">En los cursos impartidos en la Escuela de Educación se consideran faltas graves a la integridad académica y a la ética las siguientes acciones: copiar y facilitar la copia de respuestas en cualquier tipo de evaluación académica; adulterar cualquier documento oficial como documento de asistencias, correcciones de pruebas o trabajos de investigación, entre otros; plagiar u ocultar intencionalmente el origen de la información en cualquier tipo de evaluación. Cualquiera de las faltas graves mencionadas anteriormente será </w:t>
            </w:r>
            <w:proofErr w:type="gramStart"/>
            <w:r>
              <w:t>sancionada</w:t>
            </w:r>
            <w:proofErr w:type="gramEnd"/>
            <w:r>
              <w:t xml:space="preserve"> con la suspensión inmediata de la actividad y con la aplicación de la nota mínima (1,0). Además, estas causales serán informadas al Consejo de Escuela para iniciar una investigación sumaria en caso de ser necesario.</w:t>
            </w:r>
          </w:p>
          <w:p w14:paraId="66CAF470" w14:textId="77777777" w:rsidR="00B23C42" w:rsidRDefault="00B23C42">
            <w:pPr>
              <w:ind w:left="0" w:hanging="2"/>
              <w:jc w:val="both"/>
            </w:pPr>
          </w:p>
        </w:tc>
      </w:tr>
    </w:tbl>
    <w:p w14:paraId="66CAF472" w14:textId="77777777" w:rsidR="00B23C42" w:rsidRDefault="00B23C42">
      <w:pPr>
        <w:ind w:left="0" w:hanging="2"/>
      </w:pPr>
    </w:p>
    <w:sectPr w:rsidR="00B23C42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A630" w14:textId="77777777" w:rsidR="00272A4B" w:rsidRDefault="00272A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C7FC21" w14:textId="77777777" w:rsidR="00272A4B" w:rsidRDefault="00272A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7E8D" w14:textId="77777777" w:rsidR="00272A4B" w:rsidRDefault="00272A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9F111F" w14:textId="77777777" w:rsidR="00272A4B" w:rsidRDefault="00272A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F473" w14:textId="77777777" w:rsidR="00B23C42" w:rsidRDefault="00404C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B05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CAF477" wp14:editId="66CAF478">
          <wp:simplePos x="0" y="0"/>
          <wp:positionH relativeFrom="column">
            <wp:posOffset>-121283</wp:posOffset>
          </wp:positionH>
          <wp:positionV relativeFrom="paragraph">
            <wp:posOffset>-165099</wp:posOffset>
          </wp:positionV>
          <wp:extent cx="2120265" cy="5365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760" t="31064" r="761" b="30717"/>
                  <a:stretch>
                    <a:fillRect/>
                  </a:stretch>
                </pic:blipFill>
                <pic:spPr>
                  <a:xfrm>
                    <a:off x="0" y="0"/>
                    <a:ext cx="212026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CAF474" w14:textId="77777777" w:rsidR="00B23C42" w:rsidRDefault="00B23C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6CAF475" w14:textId="77777777" w:rsidR="00B23C42" w:rsidRDefault="00B23C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6CAF476" w14:textId="77777777" w:rsidR="00B23C42" w:rsidRDefault="00404C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B05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6CAF479" wp14:editId="66CAF47A">
              <wp:simplePos x="0" y="0"/>
              <wp:positionH relativeFrom="column">
                <wp:posOffset>-88899</wp:posOffset>
              </wp:positionH>
              <wp:positionV relativeFrom="paragraph">
                <wp:posOffset>12700</wp:posOffset>
              </wp:positionV>
              <wp:extent cx="5686425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02788" y="3775238"/>
                        <a:ext cx="5686425" cy="952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C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12700</wp:posOffset>
              </wp:positionV>
              <wp:extent cx="56864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6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A2A"/>
    <w:multiLevelType w:val="multilevel"/>
    <w:tmpl w:val="2EA0159A"/>
    <w:lvl w:ilvl="0">
      <w:start w:val="6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6183A1C"/>
    <w:multiLevelType w:val="multilevel"/>
    <w:tmpl w:val="0ACA6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54744"/>
    <w:multiLevelType w:val="multilevel"/>
    <w:tmpl w:val="765C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42"/>
    <w:rsid w:val="000172B4"/>
    <w:rsid w:val="00127FEC"/>
    <w:rsid w:val="00272A4B"/>
    <w:rsid w:val="002F076B"/>
    <w:rsid w:val="00327738"/>
    <w:rsid w:val="003D5D1B"/>
    <w:rsid w:val="003E0843"/>
    <w:rsid w:val="00401A53"/>
    <w:rsid w:val="00404CD5"/>
    <w:rsid w:val="00406547"/>
    <w:rsid w:val="004078D6"/>
    <w:rsid w:val="00410A5F"/>
    <w:rsid w:val="004B767B"/>
    <w:rsid w:val="004C7D5A"/>
    <w:rsid w:val="00625962"/>
    <w:rsid w:val="0067760D"/>
    <w:rsid w:val="0070516C"/>
    <w:rsid w:val="007974D9"/>
    <w:rsid w:val="007E6E69"/>
    <w:rsid w:val="008561EB"/>
    <w:rsid w:val="00934BEE"/>
    <w:rsid w:val="00AA0E1F"/>
    <w:rsid w:val="00AC1AF2"/>
    <w:rsid w:val="00B23C42"/>
    <w:rsid w:val="00BC504F"/>
    <w:rsid w:val="00BE7825"/>
    <w:rsid w:val="00BF0547"/>
    <w:rsid w:val="00CB56E0"/>
    <w:rsid w:val="00D444DA"/>
    <w:rsid w:val="00D70189"/>
    <w:rsid w:val="00D76F40"/>
    <w:rsid w:val="00DB11A6"/>
    <w:rsid w:val="00E5599F"/>
    <w:rsid w:val="00E614BC"/>
    <w:rsid w:val="00E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F3A6"/>
  <w15:docId w15:val="{06219ACD-D4EF-4D99-8E1D-1B5AEDE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pPr>
      <w:suppressAutoHyphens w:val="0"/>
      <w:spacing w:after="0" w:line="240" w:lineRule="auto"/>
    </w:pPr>
    <w:rPr>
      <w:rFonts w:ascii="Arial" w:eastAsia="SimSun" w:hAnsi="Arial"/>
      <w:b/>
      <w:spacing w:val="-3"/>
      <w:sz w:val="20"/>
      <w:szCs w:val="20"/>
      <w:lang w:eastAsia="es-E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ZsFG3TY53h7k9I09BaTIG9FOg==">AMUW2mUUciAnVa6Wd0sEyDa8/KzDzpDksTGGSS6Sfu728TMAPaKC0g2BjEXHke70VVo3KfyN1mUWLZ9XF7l10c72T+6BIEbqPbXXA4fIRs69HnZELSjNf02KMJvFeK32xCotm7tNejzq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1038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Ucurso</dc:creator>
  <cp:lastModifiedBy>Alexander Neira</cp:lastModifiedBy>
  <cp:revision>33</cp:revision>
  <dcterms:created xsi:type="dcterms:W3CDTF">2019-03-16T05:12:00Z</dcterms:created>
  <dcterms:modified xsi:type="dcterms:W3CDTF">2019-08-11T22:35:00Z</dcterms:modified>
</cp:coreProperties>
</file>